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0" w:rsidRPr="00462850" w:rsidRDefault="00030130" w:rsidP="00E24C88">
      <w:pPr>
        <w:widowControl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TC-6c494eea4e2d9ed17b80ff0b*Ar" w:eastAsia="ATC-6c494eea4e2d9ed17b80ff0b*Ar" w:cs="ATC-6c494eea4e2d9ed17b80ff0b*Ar"/>
          <w:kern w:val="0"/>
          <w:lang w:val="zh-CN"/>
        </w:rPr>
      </w:pPr>
    </w:p>
    <w:p w:rsidR="00E24C88" w:rsidRPr="00462850" w:rsidRDefault="00E24C88" w:rsidP="00E24C88">
      <w:pPr>
        <w:widowControl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TC-6c494eea4e2d9ed17b80ff0b*Ar" w:eastAsia="ATC-6c494eea4e2d9ed17b80ff0b*Ar" w:cs="ATC-6c494eea4e2d9ed17b80ff0b*Ar"/>
          <w:kern w:val="0"/>
        </w:rPr>
      </w:pPr>
      <w:r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附件：</w:t>
      </w:r>
    </w:p>
    <w:p w:rsidR="00E24C88" w:rsidRPr="00462850" w:rsidRDefault="00E24C88" w:rsidP="00E24C88">
      <w:pPr>
        <w:widowControl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TC-6c494eea4e2d9ed17b80ff0b*Ar" w:eastAsia="ATC-6c494eea4e2d9ed17b80ff0b*Ar" w:cs="ATC-6c494eea4e2d9ed17b80ff0b*Ar"/>
          <w:kern w:val="0"/>
          <w:lang w:val="zh-CN"/>
        </w:rPr>
      </w:pPr>
    </w:p>
    <w:p w:rsidR="00E24C88" w:rsidRPr="00462850" w:rsidRDefault="00B06305" w:rsidP="00B06305">
      <w:pPr>
        <w:widowControl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TC-6c494eea4e665b8b4e007b80ff0" w:eastAsia="ATC-6c494eea4e665b8b4e007b80ff0" w:cs="ATC-6c494eea4e665b8b4e007b80ff0"/>
          <w:kern w:val="0"/>
          <w:lang w:val="zh-CN"/>
        </w:rPr>
      </w:pPr>
      <w:r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一、</w:t>
      </w:r>
      <w:r w:rsidR="00E24C88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“</w:t>
      </w:r>
      <w:r w:rsidR="004F6D9D" w:rsidRPr="00462850">
        <w:rPr>
          <w:rFonts w:ascii="ATC-6c494eea4e2d9ed17b80ff0b*Ar" w:eastAsia="ATC-6c494eea4e2d9ed17b80ff0b*Ar" w:cs="ATC-6c494eea4e2d9ed17b80ff0b*Ar"/>
          <w:kern w:val="0"/>
          <w:lang w:val="zh-CN"/>
        </w:rPr>
        <w:t>I</w:t>
      </w:r>
      <w:r w:rsidR="00E24C88" w:rsidRPr="00462850">
        <w:rPr>
          <w:rFonts w:ascii="ATC-6c494eea4e2d9ed17b80ff0b*Ar" w:eastAsia="ATC-6c494eea4e2d9ed17b80ff0b*Ar" w:cs="ATC-6c494eea4e2d9ed17b80ff0b*Ar"/>
          <w:kern w:val="0"/>
          <w:lang w:val="zh-CN"/>
        </w:rPr>
        <w:t>Pv6</w:t>
      </w:r>
      <w:proofErr w:type="gramStart"/>
      <w:r w:rsidR="00E24C88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百</w:t>
      </w:r>
      <w:proofErr w:type="gramEnd"/>
      <w:r w:rsidR="00E24C88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城千镇升级工程”申报表</w:t>
      </w:r>
      <w:r w:rsidR="00941A99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（城市</w:t>
      </w:r>
      <w:r w:rsidR="00CE3874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/</w:t>
      </w:r>
      <w:r w:rsidR="006A7ECC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园区</w:t>
      </w:r>
      <w:r w:rsidR="00941A99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）</w:t>
      </w:r>
    </w:p>
    <w:tbl>
      <w:tblPr>
        <w:tblW w:w="8185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1989"/>
        <w:gridCol w:w="2328"/>
        <w:gridCol w:w="2237"/>
      </w:tblGrid>
      <w:tr w:rsidR="00E24C88" w:rsidRPr="00462850" w:rsidTr="004F6D9D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9B4FF6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申请单位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2C1A0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</w:p>
        </w:tc>
      </w:tr>
      <w:tr w:rsidR="00E24C88" w:rsidRPr="00462850" w:rsidTr="004F6D9D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联系人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联系方式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E24C88" w:rsidRPr="00462850" w:rsidTr="004F6D9D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区域面积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平方公里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城区面积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平方公里</w:t>
            </w:r>
          </w:p>
        </w:tc>
      </w:tr>
      <w:tr w:rsidR="00E24C88" w:rsidRPr="00462850" w:rsidTr="004F6D9D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城区户籍人口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人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城区常住人口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人</w:t>
            </w:r>
          </w:p>
        </w:tc>
      </w:tr>
      <w:tr w:rsidR="00E24C88" w:rsidRPr="00462850" w:rsidTr="004F6D9D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本级财政收入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亿元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生产总值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亿元</w:t>
            </w:r>
          </w:p>
        </w:tc>
      </w:tr>
      <w:tr w:rsidR="00E24C88" w:rsidRPr="00462850" w:rsidTr="004F6D9D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居民可支配收入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元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主要产业（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>3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个左右）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E24C88" w:rsidRPr="00462850" w:rsidTr="004F6D9D">
        <w:trPr>
          <w:trHeight w:val="2444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申报理由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E24C88" w:rsidRPr="00462850" w:rsidTr="004F6D9D">
        <w:trPr>
          <w:trHeight w:val="2001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申报需求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一期工程需要覆盖（请在选项后划“√”）：</w:t>
            </w:r>
          </w:p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>1.  10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万终端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□</w:t>
            </w:r>
          </w:p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>2.  20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万终端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□</w:t>
            </w:r>
          </w:p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>3.  40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万终端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□</w:t>
            </w:r>
          </w:p>
        </w:tc>
      </w:tr>
      <w:tr w:rsidR="00E24C88" w:rsidRPr="00462850" w:rsidTr="004F6D9D">
        <w:trPr>
          <w:trHeight w:val="2032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市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>/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区政府意见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</w:p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                                      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盖章：</w:t>
            </w:r>
          </w:p>
          <w:p w:rsidR="00E24C88" w:rsidRPr="00462850" w:rsidRDefault="00E24C88" w:rsidP="00E24C88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</w:p>
          <w:p w:rsidR="00E24C88" w:rsidRPr="00462850" w:rsidRDefault="00E24C88" w:rsidP="0080115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  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日期：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年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月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日</w:t>
            </w:r>
          </w:p>
        </w:tc>
      </w:tr>
    </w:tbl>
    <w:p w:rsidR="00E24C88" w:rsidRPr="00462850" w:rsidRDefault="00E24C88" w:rsidP="00E24C88">
      <w:pPr>
        <w:widowControl/>
        <w:suppressAutoHyphens/>
        <w:autoSpaceDE w:val="0"/>
        <w:autoSpaceDN w:val="0"/>
        <w:adjustRightInd w:val="0"/>
        <w:spacing w:line="288" w:lineRule="auto"/>
        <w:ind w:firstLine="510"/>
        <w:textAlignment w:val="center"/>
        <w:rPr>
          <w:rFonts w:ascii="ATC-6c494eea4e665b8b4e007b80ff0" w:eastAsia="ATC-6c494eea4e665b8b4e007b80ff0" w:cs="ATC-6c494eea4e665b8b4e007b80ff0"/>
          <w:kern w:val="0"/>
          <w:lang w:val="zh-CN"/>
        </w:rPr>
      </w:pPr>
    </w:p>
    <w:p w:rsidR="00005F7E" w:rsidRPr="00462850" w:rsidRDefault="00005F7E"/>
    <w:p w:rsidR="00030130" w:rsidRPr="00462850" w:rsidRDefault="00A41DD8" w:rsidP="00030130">
      <w:pPr>
        <w:widowControl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TC-6c494eea4e665b8b4e007b80ff0" w:eastAsia="ATC-6c494eea4e665b8b4e007b80ff0" w:cs="ATC-6c494eea4e665b8b4e007b80ff0"/>
          <w:kern w:val="0"/>
          <w:lang w:val="zh-CN"/>
        </w:rPr>
      </w:pPr>
      <w:r w:rsidRPr="00462850">
        <w:rPr>
          <w:rFonts w:ascii="ATC-6c494eea4e2d9ed17b80ff0b*Ar" w:eastAsia="ATC-6c494eea4e2d9ed17b80ff0b*Ar" w:cs="ATC-6c494eea4e2d9ed17b80ff0b*Ar" w:hint="eastAsia"/>
          <w:kern w:val="0"/>
        </w:rPr>
        <w:lastRenderedPageBreak/>
        <w:t>二</w:t>
      </w:r>
      <w:r w:rsidR="00030130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、“</w:t>
      </w:r>
      <w:r w:rsidR="00030130" w:rsidRPr="00462850">
        <w:rPr>
          <w:rFonts w:ascii="ATC-6c494eea4e2d9ed17b80ff0b*Ar" w:eastAsia="ATC-6c494eea4e2d9ed17b80ff0b*Ar" w:cs="ATC-6c494eea4e2d9ed17b80ff0b*Ar"/>
          <w:kern w:val="0"/>
          <w:lang w:val="zh-CN"/>
        </w:rPr>
        <w:t>IPv6</w:t>
      </w:r>
      <w:proofErr w:type="gramStart"/>
      <w:r w:rsidR="00030130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百</w:t>
      </w:r>
      <w:proofErr w:type="gramEnd"/>
      <w:r w:rsidR="00030130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城千镇升级工程”申报表（</w:t>
      </w:r>
      <w:r w:rsidR="00E62160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企业</w:t>
      </w:r>
      <w:r w:rsidR="00030130" w:rsidRPr="00462850">
        <w:rPr>
          <w:rFonts w:ascii="ATC-6c494eea4e2d9ed17b80ff0b*Ar" w:eastAsia="ATC-6c494eea4e2d9ed17b80ff0b*Ar" w:cs="ATC-6c494eea4e2d9ed17b80ff0b*Ar" w:hint="eastAsia"/>
          <w:kern w:val="0"/>
          <w:lang w:val="zh-CN"/>
        </w:rPr>
        <w:t>）</w:t>
      </w:r>
    </w:p>
    <w:tbl>
      <w:tblPr>
        <w:tblW w:w="8185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2480"/>
        <w:gridCol w:w="1559"/>
        <w:gridCol w:w="2515"/>
      </w:tblGrid>
      <w:tr w:rsidR="00030130" w:rsidRPr="00462850" w:rsidTr="00D41336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申请单位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</w:p>
        </w:tc>
      </w:tr>
      <w:tr w:rsidR="00030130" w:rsidRPr="00462850" w:rsidTr="00815C47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联系人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联系方式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030130" w:rsidRPr="00462850" w:rsidTr="00815C47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843405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所在行业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4B14C8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主营业务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113"/>
              <w:jc w:val="right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</w:p>
        </w:tc>
      </w:tr>
      <w:tr w:rsidR="00030130" w:rsidRPr="00462850" w:rsidTr="00815C47">
        <w:trPr>
          <w:trHeight w:val="625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430884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前三年营业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收入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B17E9" w:rsidP="000B17E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353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 xml:space="preserve">2013年     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亿元</w:t>
            </w:r>
          </w:p>
          <w:p w:rsidR="000B17E9" w:rsidRPr="00462850" w:rsidRDefault="000B17E9" w:rsidP="000B17E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353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2014年     亿元</w:t>
            </w:r>
          </w:p>
          <w:p w:rsidR="000B17E9" w:rsidRPr="00462850" w:rsidRDefault="000B17E9" w:rsidP="000B17E9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353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2015年     亿元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843405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前三年</w:t>
            </w:r>
            <w:r w:rsidR="006B72F2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利润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22C65" w:rsidRPr="00462850" w:rsidRDefault="00C22C65" w:rsidP="00C22C65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353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2013年     亿元</w:t>
            </w:r>
          </w:p>
          <w:p w:rsidR="00030130" w:rsidRPr="00462850" w:rsidRDefault="00C22C65" w:rsidP="00815C47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right="353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2014年     亿元2015年     亿元</w:t>
            </w:r>
          </w:p>
        </w:tc>
      </w:tr>
      <w:tr w:rsidR="00030130" w:rsidRPr="00462850" w:rsidTr="00D41336">
        <w:trPr>
          <w:trHeight w:val="2444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申报理由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autoSpaceDE w:val="0"/>
              <w:autoSpaceDN w:val="0"/>
              <w:adjustRightInd w:val="0"/>
              <w:jc w:val="left"/>
              <w:rPr>
                <w:rFonts w:ascii="ATC-6c494eea4e2d9ed17b80ff0b*Ar" w:eastAsia="ATC-6c494eea4e2d9ed17b80ff0b*Ar" w:cs="Times New Roman"/>
                <w:kern w:val="0"/>
              </w:rPr>
            </w:pPr>
          </w:p>
        </w:tc>
      </w:tr>
      <w:tr w:rsidR="00030130" w:rsidRPr="00462850" w:rsidTr="00D41336">
        <w:trPr>
          <w:trHeight w:val="2001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申报需求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一期工程需要覆盖（请在选项后划“√”）：</w:t>
            </w:r>
          </w:p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>1.  10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万终端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□</w:t>
            </w:r>
          </w:p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>2.  20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万终端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□</w:t>
            </w:r>
          </w:p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ind w:firstLine="567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>3.  40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万终端</w:t>
            </w: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  <w:t xml:space="preserve">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□</w:t>
            </w:r>
          </w:p>
        </w:tc>
      </w:tr>
      <w:tr w:rsidR="00030130" w:rsidRPr="00462850" w:rsidTr="00D41336">
        <w:trPr>
          <w:trHeight w:val="2032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84336A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公司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意见</w:t>
            </w:r>
          </w:p>
        </w:tc>
        <w:tc>
          <w:tcPr>
            <w:tcW w:w="6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</w:p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  <w:lang w:val="zh-CN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                                           </w:t>
            </w:r>
            <w:r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盖章：</w:t>
            </w:r>
          </w:p>
          <w:p w:rsidR="00030130" w:rsidRPr="00462850" w:rsidRDefault="00030130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TC-6c494eea4e665b8bff0b*times" w:eastAsia="ATC-6c494eea4e665b8bff0b*times" w:hAnsi="TimesNewRomanPSMT" w:cs="ATC-6c494eea4e665b8bff0b*times"/>
                <w:kern w:val="0"/>
              </w:rPr>
            </w:pPr>
          </w:p>
          <w:p w:rsidR="00030130" w:rsidRPr="00462850" w:rsidRDefault="00822F56" w:rsidP="00D41336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eastAsia="ATC-6c494eea4e2d9ed17b80ff0b*Ar" w:hAnsi="TimesNewRomanPSMT" w:cs="TimesNewRomanPSMT"/>
                <w:kern w:val="0"/>
                <w:sz w:val="21"/>
                <w:szCs w:val="21"/>
              </w:rPr>
            </w:pPr>
            <w:r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      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日期：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 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年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月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/>
                <w:kern w:val="0"/>
              </w:rPr>
              <w:t xml:space="preserve">        </w:t>
            </w:r>
            <w:r w:rsidR="00030130" w:rsidRPr="00462850">
              <w:rPr>
                <w:rFonts w:ascii="ATC-6c494eea4e665b8bff0b*times" w:eastAsia="ATC-6c494eea4e665b8bff0b*times" w:hAnsi="TimesNewRomanPSMT" w:cs="ATC-6c494eea4e665b8bff0b*times" w:hint="eastAsia"/>
                <w:kern w:val="0"/>
                <w:lang w:val="zh-CN"/>
              </w:rPr>
              <w:t>日</w:t>
            </w:r>
          </w:p>
        </w:tc>
      </w:tr>
    </w:tbl>
    <w:p w:rsidR="00030130" w:rsidRPr="00462850" w:rsidRDefault="00030130" w:rsidP="00030130">
      <w:pPr>
        <w:widowControl/>
        <w:suppressAutoHyphens/>
        <w:autoSpaceDE w:val="0"/>
        <w:autoSpaceDN w:val="0"/>
        <w:adjustRightInd w:val="0"/>
        <w:spacing w:line="288" w:lineRule="auto"/>
        <w:ind w:firstLine="510"/>
        <w:textAlignment w:val="center"/>
        <w:rPr>
          <w:rFonts w:ascii="ATC-6c494eea4e665b8b4e007b80ff0" w:eastAsia="ATC-6c494eea4e665b8b4e007b80ff0" w:cs="ATC-6c494eea4e665b8b4e007b80ff0"/>
          <w:kern w:val="0"/>
          <w:lang w:val="zh-CN"/>
        </w:rPr>
      </w:pPr>
    </w:p>
    <w:p w:rsidR="00030130" w:rsidRPr="00462850" w:rsidRDefault="00030130"/>
    <w:sectPr w:rsidR="00030130" w:rsidRPr="00462850" w:rsidSect="001D6B1B"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4C" w:rsidRDefault="00601D4C" w:rsidP="009C0B06">
      <w:r>
        <w:separator/>
      </w:r>
    </w:p>
  </w:endnote>
  <w:endnote w:type="continuationSeparator" w:id="0">
    <w:p w:rsidR="00601D4C" w:rsidRDefault="00601D4C" w:rsidP="009C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SongStd-Light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TC-6c494eea4e2d9ed17b80ff0b*Ar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TC-6c494eea4e665b8b4e007b80ff0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TC-6c494eea4e665b8bff0b*times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4C" w:rsidRDefault="00601D4C" w:rsidP="009C0B06">
      <w:r>
        <w:separator/>
      </w:r>
    </w:p>
  </w:footnote>
  <w:footnote w:type="continuationSeparator" w:id="0">
    <w:p w:rsidR="00601D4C" w:rsidRDefault="00601D4C" w:rsidP="009C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C88"/>
    <w:rsid w:val="00001259"/>
    <w:rsid w:val="00001C75"/>
    <w:rsid w:val="00005F7E"/>
    <w:rsid w:val="00030130"/>
    <w:rsid w:val="000308B7"/>
    <w:rsid w:val="00066384"/>
    <w:rsid w:val="00076137"/>
    <w:rsid w:val="00077147"/>
    <w:rsid w:val="000836AE"/>
    <w:rsid w:val="00085874"/>
    <w:rsid w:val="000B17E9"/>
    <w:rsid w:val="000D6C59"/>
    <w:rsid w:val="000E7075"/>
    <w:rsid w:val="000F0BDB"/>
    <w:rsid w:val="000F5BC1"/>
    <w:rsid w:val="00100CB8"/>
    <w:rsid w:val="001035DC"/>
    <w:rsid w:val="001225E9"/>
    <w:rsid w:val="00150CFC"/>
    <w:rsid w:val="00162E23"/>
    <w:rsid w:val="0016688B"/>
    <w:rsid w:val="00167BA2"/>
    <w:rsid w:val="001818A3"/>
    <w:rsid w:val="001D0862"/>
    <w:rsid w:val="002273A2"/>
    <w:rsid w:val="00234D1C"/>
    <w:rsid w:val="0025714E"/>
    <w:rsid w:val="002660A2"/>
    <w:rsid w:val="002663CB"/>
    <w:rsid w:val="00281825"/>
    <w:rsid w:val="00292F42"/>
    <w:rsid w:val="002A5583"/>
    <w:rsid w:val="002C1A08"/>
    <w:rsid w:val="002D1C66"/>
    <w:rsid w:val="002D2784"/>
    <w:rsid w:val="002D2A6B"/>
    <w:rsid w:val="002D4310"/>
    <w:rsid w:val="003008B3"/>
    <w:rsid w:val="00310770"/>
    <w:rsid w:val="003327B5"/>
    <w:rsid w:val="00344265"/>
    <w:rsid w:val="00361AD1"/>
    <w:rsid w:val="0037660A"/>
    <w:rsid w:val="003865E1"/>
    <w:rsid w:val="003C0F1F"/>
    <w:rsid w:val="003D69AE"/>
    <w:rsid w:val="003E56FF"/>
    <w:rsid w:val="003F702C"/>
    <w:rsid w:val="00412C00"/>
    <w:rsid w:val="00430884"/>
    <w:rsid w:val="0043174E"/>
    <w:rsid w:val="00440550"/>
    <w:rsid w:val="00441FBF"/>
    <w:rsid w:val="00452A5D"/>
    <w:rsid w:val="00462850"/>
    <w:rsid w:val="004A253D"/>
    <w:rsid w:val="004B14C8"/>
    <w:rsid w:val="004C07B2"/>
    <w:rsid w:val="004C3215"/>
    <w:rsid w:val="004D0BD5"/>
    <w:rsid w:val="004E3BF5"/>
    <w:rsid w:val="004F6D9D"/>
    <w:rsid w:val="00502DE0"/>
    <w:rsid w:val="00521429"/>
    <w:rsid w:val="00553FEA"/>
    <w:rsid w:val="00554587"/>
    <w:rsid w:val="00555951"/>
    <w:rsid w:val="005561E0"/>
    <w:rsid w:val="00570D1A"/>
    <w:rsid w:val="0057463F"/>
    <w:rsid w:val="005844A4"/>
    <w:rsid w:val="00596242"/>
    <w:rsid w:val="005A1786"/>
    <w:rsid w:val="005C40E6"/>
    <w:rsid w:val="005D0A78"/>
    <w:rsid w:val="005D134D"/>
    <w:rsid w:val="005F1B0F"/>
    <w:rsid w:val="00601D4C"/>
    <w:rsid w:val="00602898"/>
    <w:rsid w:val="006037E4"/>
    <w:rsid w:val="006272B0"/>
    <w:rsid w:val="00630AA6"/>
    <w:rsid w:val="00633997"/>
    <w:rsid w:val="006379DA"/>
    <w:rsid w:val="00662702"/>
    <w:rsid w:val="0066431C"/>
    <w:rsid w:val="006764F2"/>
    <w:rsid w:val="006817D9"/>
    <w:rsid w:val="00687A2F"/>
    <w:rsid w:val="00692801"/>
    <w:rsid w:val="006A2737"/>
    <w:rsid w:val="006A6FA2"/>
    <w:rsid w:val="006A7ECC"/>
    <w:rsid w:val="006B72F2"/>
    <w:rsid w:val="006C1C2E"/>
    <w:rsid w:val="006C70BC"/>
    <w:rsid w:val="006F4EB0"/>
    <w:rsid w:val="007428A4"/>
    <w:rsid w:val="00744DA6"/>
    <w:rsid w:val="0075314B"/>
    <w:rsid w:val="0078270D"/>
    <w:rsid w:val="007A20A6"/>
    <w:rsid w:val="007C2CAE"/>
    <w:rsid w:val="00801159"/>
    <w:rsid w:val="00815C47"/>
    <w:rsid w:val="00822F56"/>
    <w:rsid w:val="00832D1A"/>
    <w:rsid w:val="00842BF0"/>
    <w:rsid w:val="008432BE"/>
    <w:rsid w:val="0084336A"/>
    <w:rsid w:val="00843405"/>
    <w:rsid w:val="0084346C"/>
    <w:rsid w:val="00877A79"/>
    <w:rsid w:val="0089265E"/>
    <w:rsid w:val="008976B7"/>
    <w:rsid w:val="008A2CCA"/>
    <w:rsid w:val="008B601B"/>
    <w:rsid w:val="008C30BB"/>
    <w:rsid w:val="008D46EA"/>
    <w:rsid w:val="008E025C"/>
    <w:rsid w:val="008F1C8C"/>
    <w:rsid w:val="0090306E"/>
    <w:rsid w:val="00941A99"/>
    <w:rsid w:val="0094392C"/>
    <w:rsid w:val="00944308"/>
    <w:rsid w:val="00964A18"/>
    <w:rsid w:val="009805AC"/>
    <w:rsid w:val="00984379"/>
    <w:rsid w:val="009A5A38"/>
    <w:rsid w:val="009B4FF6"/>
    <w:rsid w:val="009C0B06"/>
    <w:rsid w:val="009C336B"/>
    <w:rsid w:val="009E1574"/>
    <w:rsid w:val="009F7D53"/>
    <w:rsid w:val="00A171DA"/>
    <w:rsid w:val="00A261F1"/>
    <w:rsid w:val="00A2668C"/>
    <w:rsid w:val="00A30F7B"/>
    <w:rsid w:val="00A40747"/>
    <w:rsid w:val="00A41DD8"/>
    <w:rsid w:val="00A56825"/>
    <w:rsid w:val="00A62921"/>
    <w:rsid w:val="00A903C3"/>
    <w:rsid w:val="00AA40B7"/>
    <w:rsid w:val="00AB7E15"/>
    <w:rsid w:val="00AC4C7E"/>
    <w:rsid w:val="00AC5E70"/>
    <w:rsid w:val="00AC77A0"/>
    <w:rsid w:val="00AD7FA9"/>
    <w:rsid w:val="00AE04EA"/>
    <w:rsid w:val="00AE3CC8"/>
    <w:rsid w:val="00AE7E62"/>
    <w:rsid w:val="00AF4626"/>
    <w:rsid w:val="00AF5E16"/>
    <w:rsid w:val="00B06305"/>
    <w:rsid w:val="00B13605"/>
    <w:rsid w:val="00B22C8F"/>
    <w:rsid w:val="00B40398"/>
    <w:rsid w:val="00B4061E"/>
    <w:rsid w:val="00B77D76"/>
    <w:rsid w:val="00B80019"/>
    <w:rsid w:val="00BE13CE"/>
    <w:rsid w:val="00BF1C9A"/>
    <w:rsid w:val="00C22C65"/>
    <w:rsid w:val="00C25342"/>
    <w:rsid w:val="00C4516A"/>
    <w:rsid w:val="00C610F2"/>
    <w:rsid w:val="00CA2728"/>
    <w:rsid w:val="00CA55E2"/>
    <w:rsid w:val="00CC2A11"/>
    <w:rsid w:val="00CE3874"/>
    <w:rsid w:val="00CE5EBB"/>
    <w:rsid w:val="00CF28BB"/>
    <w:rsid w:val="00D1049D"/>
    <w:rsid w:val="00D23064"/>
    <w:rsid w:val="00D32E89"/>
    <w:rsid w:val="00D41CC1"/>
    <w:rsid w:val="00D62648"/>
    <w:rsid w:val="00D87C5B"/>
    <w:rsid w:val="00D91B13"/>
    <w:rsid w:val="00DC6ABE"/>
    <w:rsid w:val="00DD3039"/>
    <w:rsid w:val="00DE7F4C"/>
    <w:rsid w:val="00E00051"/>
    <w:rsid w:val="00E14FA8"/>
    <w:rsid w:val="00E24C88"/>
    <w:rsid w:val="00E53DB0"/>
    <w:rsid w:val="00E62160"/>
    <w:rsid w:val="00E6284D"/>
    <w:rsid w:val="00E76D65"/>
    <w:rsid w:val="00E770E4"/>
    <w:rsid w:val="00E90072"/>
    <w:rsid w:val="00E9280B"/>
    <w:rsid w:val="00E931C0"/>
    <w:rsid w:val="00EC53D3"/>
    <w:rsid w:val="00ED3285"/>
    <w:rsid w:val="00ED7D66"/>
    <w:rsid w:val="00EE3549"/>
    <w:rsid w:val="00F1001A"/>
    <w:rsid w:val="00F22707"/>
    <w:rsid w:val="00F26DB9"/>
    <w:rsid w:val="00F57495"/>
    <w:rsid w:val="00FB5B94"/>
    <w:rsid w:val="00FC6AE9"/>
    <w:rsid w:val="00FC751A"/>
    <w:rsid w:val="00FC7B21"/>
    <w:rsid w:val="00FE3E3A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E24C8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kern w:val="0"/>
      <w:lang w:val="zh-CN"/>
    </w:rPr>
  </w:style>
  <w:style w:type="paragraph" w:customStyle="1" w:styleId="a4">
    <w:name w:val="一级标题"/>
    <w:basedOn w:val="a3"/>
    <w:uiPriority w:val="99"/>
    <w:rsid w:val="00E24C88"/>
    <w:pPr>
      <w:suppressAutoHyphens/>
      <w:spacing w:before="283" w:line="300" w:lineRule="atLeast"/>
      <w:ind w:left="414" w:hanging="414"/>
    </w:pPr>
    <w:rPr>
      <w:rFonts w:ascii="ATC-6c494eea4e2d9ed17b80ff0b*Ar" w:eastAsia="ATC-6c494eea4e2d9ed17b80ff0b*Ar" w:cs="ATC-6c494eea4e2d9ed17b80ff0b*Ar"/>
      <w:position w:val="10"/>
      <w:sz w:val="26"/>
      <w:szCs w:val="26"/>
    </w:rPr>
  </w:style>
  <w:style w:type="character" w:customStyle="1" w:styleId="0">
    <w:name w:val="内文大标0"/>
    <w:basedOn w:val="a0"/>
    <w:uiPriority w:val="99"/>
    <w:rsid w:val="00E24C88"/>
    <w:rPr>
      <w:rFonts w:ascii="ATC-6c494eea4e2d9ed17b80ff0b*Ar" w:eastAsia="ATC-6c494eea4e2d9ed17b80ff0b*Ar" w:cs="ATC-6c494eea4e2d9ed17b80ff0b*Ar"/>
      <w:color w:val="000000"/>
      <w:w w:val="100"/>
      <w:position w:val="10"/>
      <w:sz w:val="26"/>
      <w:szCs w:val="26"/>
    </w:rPr>
  </w:style>
  <w:style w:type="character" w:customStyle="1" w:styleId="a5">
    <w:name w:val="内文"/>
    <w:basedOn w:val="a0"/>
    <w:uiPriority w:val="99"/>
    <w:rsid w:val="00E24C88"/>
    <w:rPr>
      <w:rFonts w:ascii="ATC-6c494eea4e665b8b4e007b80ff0" w:eastAsia="ATC-6c494eea4e665b8b4e007b80ff0" w:cs="ATC-6c494eea4e665b8b4e007b80ff0"/>
      <w:color w:val="000000"/>
      <w:sz w:val="20"/>
      <w:szCs w:val="20"/>
    </w:rPr>
  </w:style>
  <w:style w:type="character" w:customStyle="1" w:styleId="00">
    <w:name w:val="内文小标0.0"/>
    <w:basedOn w:val="a0"/>
    <w:uiPriority w:val="99"/>
    <w:rsid w:val="00E24C88"/>
    <w:rPr>
      <w:rFonts w:ascii="ATC-6c494eea4e2d9ed17b80ff0b*Ar" w:eastAsia="ATC-6c494eea4e2d9ed17b80ff0b*Ar" w:cs="ATC-6c494eea4e2d9ed17b80ff0b*Ar"/>
      <w:color w:val="000000"/>
      <w:w w:val="100"/>
      <w:sz w:val="20"/>
      <w:szCs w:val="20"/>
    </w:rPr>
  </w:style>
  <w:style w:type="paragraph" w:customStyle="1" w:styleId="a6">
    <w:name w:val="[基本段落]"/>
    <w:basedOn w:val="a3"/>
    <w:uiPriority w:val="99"/>
    <w:rsid w:val="00E24C88"/>
  </w:style>
  <w:style w:type="paragraph" w:styleId="a7">
    <w:name w:val="header"/>
    <w:basedOn w:val="a"/>
    <w:link w:val="Char"/>
    <w:uiPriority w:val="99"/>
    <w:semiHidden/>
    <w:unhideWhenUsed/>
    <w:rsid w:val="009C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C0B06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C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C0B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E24C8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kern w:val="0"/>
      <w:lang w:val="zh-CN"/>
    </w:rPr>
  </w:style>
  <w:style w:type="paragraph" w:customStyle="1" w:styleId="a4">
    <w:name w:val="一级标题"/>
    <w:basedOn w:val="a3"/>
    <w:uiPriority w:val="99"/>
    <w:rsid w:val="00E24C88"/>
    <w:pPr>
      <w:suppressAutoHyphens/>
      <w:spacing w:before="283" w:line="300" w:lineRule="atLeast"/>
      <w:ind w:left="414" w:hanging="414"/>
    </w:pPr>
    <w:rPr>
      <w:rFonts w:ascii="ATC-6c494eea4e2d9ed17b80ff0b*Ar" w:eastAsia="ATC-6c494eea4e2d9ed17b80ff0b*Ar" w:cs="ATC-6c494eea4e2d9ed17b80ff0b*Ar"/>
      <w:position w:val="10"/>
      <w:sz w:val="26"/>
      <w:szCs w:val="26"/>
    </w:rPr>
  </w:style>
  <w:style w:type="character" w:customStyle="1" w:styleId="0">
    <w:name w:val="内文大标0"/>
    <w:basedOn w:val="a0"/>
    <w:uiPriority w:val="99"/>
    <w:rsid w:val="00E24C88"/>
    <w:rPr>
      <w:rFonts w:ascii="ATC-6c494eea4e2d9ed17b80ff0b*Ar" w:eastAsia="ATC-6c494eea4e2d9ed17b80ff0b*Ar" w:cs="ATC-6c494eea4e2d9ed17b80ff0b*Ar"/>
      <w:color w:val="000000"/>
      <w:w w:val="100"/>
      <w:position w:val="10"/>
      <w:sz w:val="26"/>
      <w:szCs w:val="26"/>
    </w:rPr>
  </w:style>
  <w:style w:type="character" w:customStyle="1" w:styleId="a5">
    <w:name w:val="内文"/>
    <w:basedOn w:val="a0"/>
    <w:uiPriority w:val="99"/>
    <w:rsid w:val="00E24C88"/>
    <w:rPr>
      <w:rFonts w:ascii="ATC-6c494eea4e665b8b4e007b80ff0" w:eastAsia="ATC-6c494eea4e665b8b4e007b80ff0" w:cs="ATC-6c494eea4e665b8b4e007b80ff0"/>
      <w:color w:val="000000"/>
      <w:sz w:val="20"/>
      <w:szCs w:val="20"/>
    </w:rPr>
  </w:style>
  <w:style w:type="character" w:customStyle="1" w:styleId="00">
    <w:name w:val="内文小标0.0"/>
    <w:basedOn w:val="a0"/>
    <w:uiPriority w:val="99"/>
    <w:rsid w:val="00E24C88"/>
    <w:rPr>
      <w:rFonts w:ascii="ATC-6c494eea4e2d9ed17b80ff0b*Ar" w:eastAsia="ATC-6c494eea4e2d9ed17b80ff0b*Ar" w:cs="ATC-6c494eea4e2d9ed17b80ff0b*Ar"/>
      <w:color w:val="000000"/>
      <w:w w:val="100"/>
      <w:sz w:val="20"/>
      <w:szCs w:val="20"/>
    </w:rPr>
  </w:style>
  <w:style w:type="paragraph" w:customStyle="1" w:styleId="a6">
    <w:name w:val="[基本段落]"/>
    <w:basedOn w:val="a3"/>
    <w:uiPriority w:val="99"/>
    <w:rsid w:val="00E2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>CNCIO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jim</dc:creator>
  <cp:keywords/>
  <dc:description/>
  <cp:lastModifiedBy>微软用户</cp:lastModifiedBy>
  <cp:revision>3</cp:revision>
  <dcterms:created xsi:type="dcterms:W3CDTF">2016-06-25T14:51:00Z</dcterms:created>
  <dcterms:modified xsi:type="dcterms:W3CDTF">2016-06-25T14:52:00Z</dcterms:modified>
</cp:coreProperties>
</file>